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BE" w:rsidRPr="007461BE" w:rsidRDefault="007461BE" w:rsidP="007461BE">
      <w:pPr>
        <w:spacing w:after="0" w:line="288" w:lineRule="atLeast"/>
        <w:jc w:val="center"/>
        <w:outlineLvl w:val="0"/>
        <w:rPr>
          <w:rFonts w:ascii="Arial" w:eastAsia="Times New Roman" w:hAnsi="Arial" w:cs="Arial"/>
          <w:color w:val="FFFFFF"/>
          <w:kern w:val="36"/>
          <w:sz w:val="68"/>
          <w:szCs w:val="68"/>
          <w:lang w:eastAsia="tr-TR"/>
        </w:rPr>
      </w:pPr>
      <w:r w:rsidRPr="007461BE">
        <w:rPr>
          <w:rFonts w:ascii="Arial" w:eastAsia="Times New Roman" w:hAnsi="Arial" w:cs="Arial"/>
          <w:color w:val="FFFFFF"/>
          <w:kern w:val="36"/>
          <w:sz w:val="68"/>
          <w:szCs w:val="68"/>
          <w:lang w:eastAsia="tr-TR"/>
        </w:rPr>
        <w:t>CİNSEL İŞLEV BOZUKLUKLARI VE TEDAVİSİ</w:t>
      </w:r>
    </w:p>
    <w:p w:rsidR="007461BE" w:rsidRPr="007461BE" w:rsidRDefault="007461BE" w:rsidP="007461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7461B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892C68E" wp14:editId="33014961">
            <wp:extent cx="6096000" cy="3429000"/>
            <wp:effectExtent l="0" t="0" r="0" b="0"/>
            <wp:docPr id="1" name="Resim 1" descr="CİNSEL İŞLEV BOZUKLUK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İNSEL İŞLEV BOZUKLUKLA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Cinsel işlev bozuklukları 4 başlıkta toplanır. Tek başına veya birkaçı aynı anda görülebilir.</w:t>
      </w:r>
    </w:p>
    <w:p w:rsidR="007461BE" w:rsidRPr="007461BE" w:rsidRDefault="007461BE" w:rsidP="007461BE">
      <w:pPr>
        <w:spacing w:after="100" w:afterAutospacing="1" w:line="240" w:lineRule="auto"/>
        <w:outlineLvl w:val="3"/>
        <w:rPr>
          <w:rFonts w:ascii="inherit" w:eastAsia="Times New Roman" w:hAnsi="inherit" w:cs="Arial"/>
          <w:color w:val="3D4459"/>
          <w:sz w:val="24"/>
          <w:szCs w:val="24"/>
          <w:lang w:eastAsia="tr-TR"/>
        </w:rPr>
      </w:pPr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>1- Cinsel İsteksizlik (Libido Kaybı)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Cinsel işlev bozukluklarından libido bozuklukları; kişinin somatik (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organsal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) psişik ve kültürel altyapısındaki sorunların bir veya daha fazlasının birleşmesiyle ortaya çıkabilir. Bir çalışmaya göre libido kaybı kadınlarda %50 ye, erkeklerde %10 a varan oranlarda görülmektedir. Libido kaybı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androjen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eksikliğine bağlı olarak görülebilir.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Hipofizer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veya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testiküler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kaynaklı olabilir. Psişik kaynaklı libido kaybı; iş kaynaklı stres veya kaygı, seksüel performans kaygısı, evlilik veya ilişki problemleri, depresyon, suçluluk duygusu, vücut görünümü hakkında kaygılar, geçirilmiş cinsel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travmalarla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ilgili olabilir. Organik kaynaklı olarak; diyabet, hipertansiyon, nörolojik hastalıklar,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tiroid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bozuklukları, böbrek/karaciğer yetmezliği, onkolojik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hasalıklar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alkol/sigara/ilaç bağımlılığı, madde bağımlılığı,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antihipertansifler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antidepresanlar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söz konusudur.</w:t>
      </w:r>
    </w:p>
    <w:p w:rsidR="007461BE" w:rsidRPr="007461BE" w:rsidRDefault="007461BE" w:rsidP="007461BE">
      <w:pPr>
        <w:spacing w:after="100" w:afterAutospacing="1" w:line="240" w:lineRule="auto"/>
        <w:outlineLvl w:val="3"/>
        <w:rPr>
          <w:rFonts w:ascii="inherit" w:eastAsia="Times New Roman" w:hAnsi="inherit" w:cs="Arial"/>
          <w:color w:val="3D4459"/>
          <w:sz w:val="24"/>
          <w:szCs w:val="24"/>
          <w:lang w:eastAsia="tr-TR"/>
        </w:rPr>
      </w:pPr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 xml:space="preserve">2- </w:t>
      </w:r>
      <w:proofErr w:type="spellStart"/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>İmpotans</w:t>
      </w:r>
      <w:proofErr w:type="spellEnd"/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 xml:space="preserve"> (</w:t>
      </w:r>
      <w:proofErr w:type="spellStart"/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>Ereksiyon</w:t>
      </w:r>
      <w:proofErr w:type="spellEnd"/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 xml:space="preserve"> Yetmezliği)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Cinsel işlev bozukluklarının bir diğer noktası olan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; cinsel birleşmeyi sağlamaya yeterli olacak sertleşmeyi ve sürdürmeye yeterli olacak süreyi sağlayamamaktır. Psişik veya organik olabilir.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Psikojenik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; evlilik, ani psikolojik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tavmalar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partner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kaybı veya ayrılma gibi durumlarda aniden ortaya çıkabilir.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İmpotans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değişik durumlarda görülebilir. Örneğin bir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partnerle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sorun yaşamazken başka bir partnerle yaşamak, mastürbasyon esnasında veya cinsel yönden uyarıcı basılı veya video gibi görsel materyallerle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ereksiyonun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normal olması, gece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ereksiyonları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veya sabah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ereksiyonlarının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olması da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impotansın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psikolojik kaynaklı olduğunu gösterir.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İmpotans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lastRenderedPageBreak/>
        <w:t xml:space="preserve">gençlerde daha çok psikolojik kaynaklı iken daha ileriki yaşlarda sıklıkla dolaşım sorunlarına bağlıdır. Damarsal hastalıklardaki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diğer organlardaki hastalıklardan 5 yıl önce ortaya çıkar.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Hormonal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veya nörolojik kaynaklı olduğu düşünülen vakalarda detaylı bir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hikaye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ile etiyoloji belirlenebilir. 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Venöz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kaçak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 önemli bir damarsal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hastalıklır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. Genç erkeklerde ani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olarka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ortaya çıkan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hipofiz kaynaklı olabilir. Bu hastalıklarda görme problemleri ve diğer nörolojik bulgular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araştırılalıdır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İmpotans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diyabetli hastalarda ve diğer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popülasyona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göre daha sık görülür.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İmpotans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hastalarda kan şekeri rutin olarak bakılmalıdır. Depresyon ve kalp yetmezliği de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androjen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eksikliğine benzer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semptomlara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yol açabilir.  Vücut kas kütlesini artırmak amacıyla kullanılan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anabolik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steroidler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androjen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üretimini baskıya alabilirler. Nörolojik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genellikle tek bulgu olarak ortaya çıkmaz. Bacaklar, mesane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gastroentestinal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sistem bulgularıyla birlikte ortaya çıkar. Nörolojik hasarı olanlarda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2 yıla kadar uzayabilir. Sünnetsiz kişilerde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fimozis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ereksiyon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sırasında ağrıya neden olabilir. Ayrıca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penil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kurvatür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peyronie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hastalığı gibi nedenler gözden kaçırılmamalıdır.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Alkol kullanımı,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barbitüratlar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kokain, eroin,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metadon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opium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ilk zamanlarda seksüel uyarıyı arttırsa da kronik kullanımlarda seksüel fonksiyonun tüm bileşenlerini ortadan kaldırır. Ayrıca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antihipertansifler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hipertansiyon, kolesterol düşürücüler,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antipsikotikler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parkinson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 diğer nörolojik rahatsızlıklarda kullanılan preparatlar vb.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impotansa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neden olabilir.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Cİnsel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işlev bozukluklarının nedenleri araştırılırken öncelikle total ve serbest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testesteron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baktırılmalı, düşük olduğu durumlarda LH, FSH,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prolaktin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seks hormonu bağlayıcı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globulin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albumin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baktırılmalıdır.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Tiroid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hormonlarının az veya fazla olduğu rahatsızlıklar da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impotansa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neden olur.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Obezite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aşırı beslenme bozuklukları da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nedenlerindendir.</w:t>
      </w:r>
    </w:p>
    <w:p w:rsidR="007461BE" w:rsidRPr="007461BE" w:rsidRDefault="007461BE" w:rsidP="007461BE">
      <w:pPr>
        <w:spacing w:after="100" w:afterAutospacing="1" w:line="240" w:lineRule="auto"/>
        <w:outlineLvl w:val="3"/>
        <w:rPr>
          <w:rFonts w:ascii="inherit" w:eastAsia="Times New Roman" w:hAnsi="inherit" w:cs="Arial"/>
          <w:color w:val="3D4459"/>
          <w:sz w:val="24"/>
          <w:szCs w:val="24"/>
          <w:lang w:eastAsia="tr-TR"/>
        </w:rPr>
      </w:pPr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 xml:space="preserve">3- </w:t>
      </w:r>
      <w:proofErr w:type="spellStart"/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 xml:space="preserve"> Bozuklukları ( Boşalma Sorunları)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A-)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Anejakülasyon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(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olmaması): 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Dışarıya veya mesaneye doğru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olmamasına rağmen orgazm olunmasıdır.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Hormonal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androjen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yetersizliği,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psikojenik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nörojenik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, ilaca bağlı veya tıkanma nedeni olabilir.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B-)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Prematür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(Erken boşalma): 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Penisin vajinaya girmesinden önce veya girdikten sonra olması gerekenden daha kısa bir sürede boşalmaktır. Burada net bir süre belirlenmemiştir. Erkeklerin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bir çoğunda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bu süre 2 dakikadan kısadır. Tedavi edilmesi gereken erken boşalma, ilişki süresinin 60 saniyeden kısa süreli veya vajina girişinden sonra 20 gidiş geliş ten daha kısa bir sürede veya dışarıdayken boşalmaktır. Genç erkeklerde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partner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değişikliğinde olabilir, geçici bir durumdur. Ayrıca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anksiyete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bozukluğu olanlarda görülür. Ömür boyu devam edenler de görülmektedir. Sonradan oluşan erken boşalma vakalarının çoğu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psikojenik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kaynaklıdır. Tedavide eğitim, uygulamalar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serotonin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geri alım inhibitörleri kullanılmaktadır.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C-)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Retrograd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(Spermin arka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üretra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ve mesaneye kaçması): 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Mesane boyunun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esnasında kapanmaması veya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pelvik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taban bölgesi kaslarının kasılmasına bağlıdır. Meni çok azalmış veya yoktur. Bu hastalarda idrar rengi meni nedeniyle bulanıktır. Tanı koymak 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lastRenderedPageBreak/>
        <w:t xml:space="preserve">için idrarın ilişki sonrası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mikroskopik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muayenesi yeterlidir. Nörolojik sebeplerden en sık görüleni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retroperitoneal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cerrahiye bağlı sempatik zincirinin hasar görmesidir. Geri boşalmanın en sık görülen nedeni prostat büyümesi nedeniyle alfa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bloker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kullanımı, prostat veya mesane boyuna yapılan cerrahi tedavilerdir. Bunların dışında bazı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antihiperantansifler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antipsikotikler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antidepresanlar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spermin gelmemesine veya mesaneye kaçmasına sebep olurlar.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D-) Gecikmiş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: 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Subjektif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bir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semptomdur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 genellikle yaş ile birlikte görülen fizyolojik bir durumdur. Boşalmama veya geri boşalıma neden olan durumlarda görülür. Uzun süreli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antidepresan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tedavisinde de görülmektedir.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E-) Ağrılı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: 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Genelde prostat veya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üretradaki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enfeksiyon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veya ödeme bağlıdır. Sünnetsiz erkeklerde görülen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prepisyum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enfeksiyonlarında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da görülür.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F-)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Orgazmik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 Ağrı: 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Farklı bir durumdur. Genellikle omurilik alt bölgesini ilgilendiren patoloji ve sinirsel hastalıklarda görülür. Karın alt bölgesinde ağrı, sıklıkla idrarda yanma, aniden sıkışma gibi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semptomlar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eşlik eder.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Ejakülasyonun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sonunda ortaya çıkar.</w:t>
      </w:r>
    </w:p>
    <w:p w:rsidR="007461BE" w:rsidRPr="007461BE" w:rsidRDefault="007461BE" w:rsidP="007461BE">
      <w:pPr>
        <w:spacing w:after="100" w:afterAutospacing="1" w:line="240" w:lineRule="auto"/>
        <w:outlineLvl w:val="3"/>
        <w:rPr>
          <w:rFonts w:ascii="inherit" w:eastAsia="Times New Roman" w:hAnsi="inherit" w:cs="Arial"/>
          <w:color w:val="3D4459"/>
          <w:sz w:val="24"/>
          <w:szCs w:val="24"/>
          <w:lang w:eastAsia="tr-TR"/>
        </w:rPr>
      </w:pPr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>4- Orgazm Bozuklukları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Orgazm bozukluklarını; a-) orgazm olunmaması (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anorgazmi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), b-) </w:t>
      </w: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azalmış orgazm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, c-) </w:t>
      </w: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ağrılı orgazm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 (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odinoorgazmi</w:t>
      </w:r>
      <w:proofErr w:type="spellEnd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,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dizorgazmi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) ve d-) </w:t>
      </w: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kontrol edilemeyen çoklu orgazm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 şeklinde sıralayabiliriz.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 xml:space="preserve">a-) </w:t>
      </w:r>
      <w:proofErr w:type="spellStart"/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Anorgazmi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 genellikle omurilik yaralanmalarına bağlıdır. Radikal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prostatektomi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(prostat ve meni keselerinin tümünün alınması)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pelvik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cerrahi sonrasında görülebilir.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b-) Azalmış orgazm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 ise genelde radikal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prostatektomi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sonrası görülür. Ayrıca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antidepresanlar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, </w:t>
      </w:r>
      <w:proofErr w:type="spellStart"/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antikonvülzanlar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,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antipsikotiklere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bağlı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anorgazmi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veya azalmış orgazm görülebilir.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c-) Ağrılı orgazm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da; ağrılı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ejakülasyon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esnasında veya hemen sonrasında karın alt bölgesi, leğen bölgesi, kuyruk sokumu ve bel bölgesinde ağrı ortaya çıkar, bacaklara ve sırta yayılabilir. Ağrılı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ejakülasyonda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ise ağrı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prostatik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üretral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(idrar yolu) bölgede daha iyi </w:t>
      </w:r>
      <w:proofErr w:type="gram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lokalize</w:t>
      </w:r>
      <w:proofErr w:type="gram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olur.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d-) </w:t>
      </w:r>
      <w:r w:rsidRPr="007461BE">
        <w:rPr>
          <w:rFonts w:ascii="Arial" w:eastAsia="Times New Roman" w:hAnsi="Arial" w:cs="Arial"/>
          <w:b/>
          <w:bCs/>
          <w:color w:val="3D4459"/>
          <w:sz w:val="24"/>
          <w:szCs w:val="24"/>
          <w:lang w:eastAsia="tr-TR"/>
        </w:rPr>
        <w:t>Kontrol edilemeyen çoklu orgazm</w:t>
      </w: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 genelde prostat ve meni keselerinin iltihaplarında ikincil olarak ortaya çıkar. Genelde altta yatan durumun tedavisiyle düzelir.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 </w:t>
      </w:r>
    </w:p>
    <w:p w:rsidR="007461BE" w:rsidRPr="007461BE" w:rsidRDefault="007461BE" w:rsidP="007461BE">
      <w:pPr>
        <w:spacing w:after="100" w:afterAutospacing="1" w:line="240" w:lineRule="auto"/>
        <w:outlineLvl w:val="3"/>
        <w:rPr>
          <w:rFonts w:ascii="inherit" w:eastAsia="Times New Roman" w:hAnsi="inherit" w:cs="Arial"/>
          <w:color w:val="3D4459"/>
          <w:sz w:val="24"/>
          <w:szCs w:val="24"/>
          <w:lang w:eastAsia="tr-TR"/>
        </w:rPr>
      </w:pPr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>Tedavi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Cinsel işlev bozukluklarında temel tedavi öncelikle neden olan organik hastalığın tedavisidir. Hastanın sigara, alkol ve madde bağımlılıklarından soyutlanması sağlanmalı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impotansa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neden olabilecek ilaçlar değiştirilebilmelidir. Bunların dışında tıbbi ve cerrahi tedaviler uygulanır.</w:t>
      </w:r>
    </w:p>
    <w:p w:rsidR="007461BE" w:rsidRPr="007461BE" w:rsidRDefault="007461BE" w:rsidP="007461BE">
      <w:pPr>
        <w:spacing w:after="100" w:afterAutospacing="1" w:line="240" w:lineRule="auto"/>
        <w:outlineLvl w:val="3"/>
        <w:rPr>
          <w:rFonts w:ascii="inherit" w:eastAsia="Times New Roman" w:hAnsi="inherit" w:cs="Arial"/>
          <w:color w:val="3D4459"/>
          <w:sz w:val="24"/>
          <w:szCs w:val="24"/>
          <w:lang w:eastAsia="tr-TR"/>
        </w:rPr>
      </w:pPr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lastRenderedPageBreak/>
        <w:t>Başlıca Tıbbi Tedaviler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1-) Pde5 İnhibitörleri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2-) PRP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3-) EAU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Section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of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Uro-Technology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 (ESUT)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4-) Vakum Tedavileri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5-)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İntrakavernozal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İlaç Enjeksiyonu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 </w:t>
      </w:r>
    </w:p>
    <w:p w:rsidR="007461BE" w:rsidRPr="007461BE" w:rsidRDefault="007461BE" w:rsidP="007461BE">
      <w:pPr>
        <w:spacing w:after="100" w:afterAutospacing="1" w:line="240" w:lineRule="auto"/>
        <w:outlineLvl w:val="3"/>
        <w:rPr>
          <w:rFonts w:ascii="inherit" w:eastAsia="Times New Roman" w:hAnsi="inherit" w:cs="Arial"/>
          <w:color w:val="3D4459"/>
          <w:sz w:val="24"/>
          <w:szCs w:val="24"/>
          <w:lang w:eastAsia="tr-TR"/>
        </w:rPr>
      </w:pPr>
      <w:r w:rsidRPr="007461BE">
        <w:rPr>
          <w:rFonts w:ascii="inherit" w:eastAsia="Times New Roman" w:hAnsi="inherit" w:cs="Arial"/>
          <w:color w:val="3D4459"/>
          <w:sz w:val="24"/>
          <w:szCs w:val="24"/>
          <w:lang w:eastAsia="tr-TR"/>
        </w:rPr>
        <w:t>Cerrahi Tedaviler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1-) Varsa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Venöz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Kaçağın Tedavisi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2-)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Peyronie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Hastalığı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Penil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Eğrilmede Düzeltici Cerrahi Tedavi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3-) Herhangi bir Medikal Tedaviye Yanıt Alınamaması Durumunda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Penil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Protez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4-)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Arterilizasyon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Tedavileri</w:t>
      </w:r>
    </w:p>
    <w:p w:rsidR="007461BE" w:rsidRPr="007461BE" w:rsidRDefault="007461BE" w:rsidP="007461BE">
      <w:pPr>
        <w:spacing w:after="100" w:afterAutospacing="1" w:line="384" w:lineRule="atLeast"/>
        <w:rPr>
          <w:rFonts w:ascii="Arial" w:eastAsia="Times New Roman" w:hAnsi="Arial" w:cs="Arial"/>
          <w:color w:val="3D4459"/>
          <w:sz w:val="24"/>
          <w:szCs w:val="24"/>
          <w:lang w:eastAsia="tr-TR"/>
        </w:rPr>
      </w:pPr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5-) Erken Boşalmada Eğitim Uygulama Teknikleri ve </w:t>
      </w:r>
      <w:proofErr w:type="spellStart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>Seratonin</w:t>
      </w:r>
      <w:proofErr w:type="spellEnd"/>
      <w:r w:rsidRPr="007461BE">
        <w:rPr>
          <w:rFonts w:ascii="Arial" w:eastAsia="Times New Roman" w:hAnsi="Arial" w:cs="Arial"/>
          <w:color w:val="3D4459"/>
          <w:sz w:val="24"/>
          <w:szCs w:val="24"/>
          <w:lang w:eastAsia="tr-TR"/>
        </w:rPr>
        <w:t xml:space="preserve"> Geri Alım İnhibitörleri Adı Verilen İlaçların Kullanımı</w:t>
      </w:r>
    </w:p>
    <w:p w:rsidR="00720D99" w:rsidRDefault="00720D99"/>
    <w:sectPr w:rsidR="00720D99" w:rsidSect="00746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C0"/>
    <w:rsid w:val="00720D99"/>
    <w:rsid w:val="007461BE"/>
    <w:rsid w:val="00E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B669-632D-4F66-AC18-5B76D66F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3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66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8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369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5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17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0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3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5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2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8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41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4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60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ilter</dc:creator>
  <cp:keywords/>
  <dc:description/>
  <cp:lastModifiedBy>ilter</cp:lastModifiedBy>
  <cp:revision>2</cp:revision>
  <dcterms:created xsi:type="dcterms:W3CDTF">2024-11-03T12:19:00Z</dcterms:created>
  <dcterms:modified xsi:type="dcterms:W3CDTF">2024-11-03T12:20:00Z</dcterms:modified>
</cp:coreProperties>
</file>